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rPr>
      </w:pPr>
    </w:p>
    <w:p>
      <w:pPr>
        <w:rPr>
          <w:color w:val="FF0000"/>
        </w:rPr>
      </w:pPr>
    </w:p>
    <w:p>
      <w:pPr>
        <w:rPr>
          <w:color w:val="FF0000"/>
        </w:rPr>
      </w:pPr>
    </w:p>
    <w:p>
      <w:pPr>
        <w:jc w:val="center"/>
        <w:rPr>
          <w:color w:val="FF0000"/>
        </w:rPr>
      </w:pPr>
      <w:r>
        <w:rPr>
          <w:b/>
          <w:color w:val="FF0000"/>
          <w:sz w:val="36"/>
          <w:szCs w:val="36"/>
        </w:rPr>
        <w:pict>
          <v:shape id="_x0000_i1025" o:spt="136" type="#_x0000_t136" style="height:62pt;width:437.05pt;" fillcolor="#FF0000" filled="t" stroked="t" coordsize="21600,21600">
            <v:path/>
            <v:fill on="t" focussize="0,0"/>
            <v:stroke weight="1pt" color="#FF0000"/>
            <v:imagedata o:title=""/>
            <o:lock v:ext="edit"/>
            <v:textpath on="t" fitshape="t" fitpath="t" trim="t" xscale="f" string="湖北省荆州市中级人民法院文件" style="font-family:方正小标宋_GBK;font-size:32pt;v-rotate-letters:f;v-same-letter-heights:f;v-text-align:center;"/>
            <w10:wrap type="none"/>
            <w10:anchorlock/>
          </v:shape>
        </w:pict>
      </w:r>
    </w:p>
    <w:p>
      <w:pPr>
        <w:spacing w:line="860" w:lineRule="exact"/>
        <w:rPr>
          <w:color w:val="FF0000"/>
        </w:rPr>
      </w:pPr>
    </w:p>
    <w:tbl>
      <w:tblPr>
        <w:tblStyle w:val="13"/>
        <w:tblW w:w="8875" w:type="dxa"/>
        <w:tblInd w:w="108" w:type="dxa"/>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5"/>
      </w:tblGrid>
      <w:tr>
        <w:tblPrEx>
          <w:tblBorders>
            <w:top w:val="none" w:color="auto" w:sz="0" w:space="0"/>
            <w:left w:val="none" w:color="auto" w:sz="0" w:space="0"/>
            <w:bottom w:val="single"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7" w:hRule="atLeast"/>
        </w:trPr>
        <w:tc>
          <w:tcPr>
            <w:tcW w:w="8875" w:type="dxa"/>
            <w:vAlign w:val="center"/>
          </w:tcPr>
          <w:p>
            <w:pPr>
              <w:spacing w:line="560" w:lineRule="exact"/>
              <w:ind w:left="316" w:leftChars="100" w:right="316" w:rightChars="100"/>
              <w:jc w:val="center"/>
              <w:rPr>
                <w:rFonts w:eastAsia="方正小标宋_GBK"/>
                <w:sz w:val="44"/>
                <w:szCs w:val="44"/>
              </w:rPr>
            </w:pPr>
            <w:r>
              <w:t>荆中法发〔2023〕38号</w:t>
            </w:r>
          </w:p>
        </w:tc>
      </w:tr>
    </w:tbl>
    <w:p/>
    <w:p>
      <w:pPr>
        <w:spacing w:line="700" w:lineRule="exact"/>
        <w:jc w:val="center"/>
        <w:rPr>
          <w:rFonts w:eastAsia="方正小标宋_GBK"/>
          <w:sz w:val="44"/>
          <w:szCs w:val="44"/>
        </w:rPr>
      </w:pPr>
      <w:r>
        <w:rPr>
          <w:rFonts w:eastAsia="方正小标宋_GBK"/>
          <w:sz w:val="44"/>
          <w:szCs w:val="44"/>
        </w:rPr>
        <w:t>关于印发《荆州市中级人民法院</w:t>
      </w:r>
    </w:p>
    <w:p>
      <w:pPr>
        <w:spacing w:line="700" w:lineRule="exact"/>
        <w:jc w:val="center"/>
        <w:rPr>
          <w:rFonts w:eastAsia="方正小标宋_GBK"/>
          <w:sz w:val="44"/>
          <w:szCs w:val="44"/>
        </w:rPr>
      </w:pPr>
      <w:r>
        <w:rPr>
          <w:rFonts w:eastAsia="方正小标宋_GBK"/>
          <w:sz w:val="44"/>
          <w:szCs w:val="44"/>
        </w:rPr>
        <w:t>关于严格规范对外委托和破产案件管理人</w:t>
      </w:r>
    </w:p>
    <w:p>
      <w:pPr>
        <w:spacing w:line="700" w:lineRule="exact"/>
        <w:jc w:val="center"/>
        <w:rPr>
          <w:rFonts w:eastAsia="方正小标宋_GBK"/>
          <w:sz w:val="44"/>
          <w:szCs w:val="44"/>
        </w:rPr>
      </w:pPr>
      <w:r>
        <w:rPr>
          <w:rFonts w:eastAsia="方正小标宋_GBK"/>
          <w:sz w:val="44"/>
          <w:szCs w:val="44"/>
        </w:rPr>
        <w:t>指定工作的有关规定》的通知</w:t>
      </w:r>
    </w:p>
    <w:p/>
    <w:p>
      <w:pPr>
        <w:spacing w:line="560" w:lineRule="exact"/>
      </w:pPr>
      <w:r>
        <w:rPr>
          <w:rFonts w:hAnsi="仿宋"/>
        </w:rPr>
        <w:t>各县、市、区人民法院，本院各部门：</w:t>
      </w:r>
      <w:bookmarkStart w:id="0" w:name="_GoBack"/>
      <w:bookmarkEnd w:id="0"/>
    </w:p>
    <w:p>
      <w:pPr>
        <w:spacing w:line="560" w:lineRule="exact"/>
        <w:ind w:firstLine="632" w:firstLineChars="200"/>
      </w:pPr>
      <w:r>
        <w:rPr>
          <w:rFonts w:hAnsi="仿宋"/>
        </w:rPr>
        <w:t>《荆州市中级人民法院关于严格规范对外委托和破产案件管理人指定工作的有关规定》，已经院长办公会讨论通过，现予印发，请认真贯彻执行。执行中遇到的问题，请及时向我院司法鉴定处反馈。</w:t>
      </w:r>
    </w:p>
    <w:p>
      <w:pPr>
        <w:ind w:firstLine="632" w:firstLineChars="200"/>
      </w:pPr>
      <w:r>
        <w:pict>
          <v:shape id="_x0000_s1026" o:spid="_x0000_s1026" o:spt="75" alt="图片2" type="#_x0000_t75" style="position:absolute;left:0pt;margin-left:250.5pt;margin-top:6.45pt;height:123.5pt;width:123.5pt;z-index:-251658240;mso-width-relative:page;mso-height-relative:page;" filled="f" o:preferrelative="t" stroked="f" coordsize="21600,21600">
            <v:path/>
            <v:fill on="f" focussize="0,0"/>
            <v:stroke on="f"/>
            <v:imagedata r:id="rId10" o:title="图片2"/>
            <o:lock v:ext="edit" aspectratio="t"/>
          </v:shape>
        </w:pict>
      </w:r>
    </w:p>
    <w:p/>
    <w:p/>
    <w:p>
      <w:pPr>
        <w:jc w:val="center"/>
      </w:pPr>
      <w:r>
        <w:t xml:space="preserve">                       荆州市中级人民法院</w:t>
      </w:r>
    </w:p>
    <w:p>
      <w:pPr>
        <w:ind w:right="1264" w:rightChars="400"/>
        <w:jc w:val="right"/>
      </w:pPr>
      <w:r>
        <w:t>2023年6月19日</w:t>
      </w:r>
    </w:p>
    <w:p>
      <w:pPr>
        <w:spacing w:line="700" w:lineRule="exact"/>
        <w:jc w:val="center"/>
        <w:rPr>
          <w:rFonts w:eastAsia="方正小标宋_GBK"/>
          <w:sz w:val="44"/>
          <w:szCs w:val="44"/>
        </w:rPr>
      </w:pPr>
      <w:r>
        <w:rPr>
          <w:rFonts w:eastAsia="方正小标宋_GBK"/>
          <w:sz w:val="44"/>
          <w:szCs w:val="44"/>
        </w:rPr>
        <w:t>荆州市中级人民法院</w:t>
      </w:r>
    </w:p>
    <w:p>
      <w:pPr>
        <w:spacing w:line="700" w:lineRule="exact"/>
        <w:jc w:val="center"/>
        <w:rPr>
          <w:rFonts w:eastAsia="方正小标宋_GBK"/>
          <w:sz w:val="44"/>
          <w:szCs w:val="44"/>
        </w:rPr>
      </w:pPr>
      <w:r>
        <w:rPr>
          <w:rFonts w:eastAsia="方正小标宋_GBK"/>
          <w:sz w:val="44"/>
          <w:szCs w:val="44"/>
        </w:rPr>
        <w:t>关于严格规范对外委托和破产案件管理人</w:t>
      </w:r>
    </w:p>
    <w:p>
      <w:pPr>
        <w:spacing w:line="700" w:lineRule="exact"/>
        <w:jc w:val="center"/>
        <w:rPr>
          <w:rFonts w:eastAsia="方正小标宋_GBK"/>
          <w:sz w:val="44"/>
          <w:szCs w:val="44"/>
        </w:rPr>
      </w:pPr>
      <w:r>
        <w:rPr>
          <w:rFonts w:eastAsia="方正小标宋_GBK"/>
          <w:sz w:val="44"/>
          <w:szCs w:val="44"/>
        </w:rPr>
        <w:t>指定工作的有关规定</w:t>
      </w:r>
    </w:p>
    <w:p>
      <w:pPr>
        <w:spacing w:line="600" w:lineRule="exact"/>
      </w:pPr>
    </w:p>
    <w:p>
      <w:pPr>
        <w:spacing w:line="600" w:lineRule="exact"/>
        <w:ind w:firstLine="632" w:firstLineChars="200"/>
      </w:pPr>
      <w:r>
        <w:rPr>
          <w:rFonts w:hAnsi="仿宋"/>
        </w:rPr>
        <w:t>为确保中介机构选择和破产案件管理人指定工作依法、规范、廉洁，根据《中华人民共和国法官职业道德基本准则》、最高人民法院《关于执行</w:t>
      </w:r>
      <w:r>
        <w:t>&lt;</w:t>
      </w:r>
      <w:r>
        <w:rPr>
          <w:rFonts w:hAnsi="仿宋"/>
        </w:rPr>
        <w:t>法官法</w:t>
      </w:r>
      <w:r>
        <w:t>&gt;</w:t>
      </w:r>
      <w:r>
        <w:rPr>
          <w:rFonts w:hAnsi="仿宋"/>
        </w:rPr>
        <w:t>有关惩戒制度的若干规定》、最高人民法院《关于违反</w:t>
      </w:r>
      <w:r>
        <w:t>“</w:t>
      </w:r>
      <w:r>
        <w:rPr>
          <w:rFonts w:hAnsi="仿宋"/>
        </w:rPr>
        <w:t>五个严禁</w:t>
      </w:r>
      <w:r>
        <w:t>”</w:t>
      </w:r>
      <w:r>
        <w:rPr>
          <w:rFonts w:hAnsi="仿宋"/>
        </w:rPr>
        <w:t>规定的处理办法》、最高人民法院《关于审理企业破产案件指定管理人的规定》、以及《湖北省法院司法委托鉴定、评估案件办理规程（试行）》、《湖北省高级人民法院破产案件管理人选任与监督管理暂行办法》等有关规定，制定如下规定。</w:t>
      </w:r>
    </w:p>
    <w:p>
      <w:pPr>
        <w:spacing w:line="600" w:lineRule="exact"/>
        <w:ind w:firstLine="632" w:firstLineChars="200"/>
      </w:pPr>
      <w:r>
        <w:rPr>
          <w:rFonts w:hAnsi="仿宋"/>
        </w:rPr>
        <w:t>第一条</w:t>
      </w:r>
      <w:r>
        <w:t xml:space="preserve">  </w:t>
      </w:r>
      <w:r>
        <w:rPr>
          <w:rFonts w:hAnsi="仿宋"/>
        </w:rPr>
        <w:t>全市法院在审判、执行工作中，除最高院司法网络询价平台案件以外，凡涉及对外委托评估、拍卖、审计、鉴定和指定破产案件管理人的，一律由司法鉴定部门统一对外委托。其他部门和个人不得对外委托。</w:t>
      </w:r>
    </w:p>
    <w:p>
      <w:pPr>
        <w:spacing w:line="600" w:lineRule="exact"/>
        <w:ind w:firstLine="632" w:firstLineChars="200"/>
      </w:pPr>
      <w:r>
        <w:rPr>
          <w:rFonts w:hAnsi="仿宋"/>
        </w:rPr>
        <w:t>第二条</w:t>
      </w:r>
      <w:r>
        <w:t xml:space="preserve">  </w:t>
      </w:r>
      <w:r>
        <w:rPr>
          <w:rFonts w:hAnsi="仿宋"/>
        </w:rPr>
        <w:t>全市法院对外委托和破产案件管理人指定案件，应由主办人、协办人两名承办人承办。</w:t>
      </w:r>
    </w:p>
    <w:p>
      <w:pPr>
        <w:spacing w:line="600" w:lineRule="exact"/>
        <w:ind w:firstLine="632" w:firstLineChars="200"/>
      </w:pPr>
      <w:r>
        <w:rPr>
          <w:rFonts w:hAnsi="仿宋"/>
        </w:rPr>
        <w:t>第三条</w:t>
      </w:r>
      <w:r>
        <w:t xml:space="preserve">  </w:t>
      </w:r>
      <w:r>
        <w:rPr>
          <w:rFonts w:hAnsi="仿宋"/>
        </w:rPr>
        <w:t>全市法院必须按照属地原则在湖北省高级人民法院名册核准的资质范围内确定中介机构和指定破产案件管理人，除法律规定以外，不得超辖区范围选择、指定。</w:t>
      </w:r>
    </w:p>
    <w:p>
      <w:pPr>
        <w:spacing w:line="600" w:lineRule="exact"/>
        <w:ind w:firstLine="632" w:firstLineChars="200"/>
      </w:pPr>
      <w:r>
        <w:rPr>
          <w:rFonts w:hAnsi="仿宋"/>
        </w:rPr>
        <w:t>第四条</w:t>
      </w:r>
      <w:r>
        <w:t xml:space="preserve">  </w:t>
      </w:r>
      <w:r>
        <w:rPr>
          <w:rFonts w:hAnsi="仿宋"/>
        </w:rPr>
        <w:t>当事人要求协商选择拍卖、鉴定案件中介机构的，应当严格审查，防止双方当事人恶意串通，损害国家、集体或他人利益。</w:t>
      </w:r>
    </w:p>
    <w:p>
      <w:pPr>
        <w:spacing w:line="600" w:lineRule="exact"/>
        <w:ind w:firstLine="632" w:firstLineChars="200"/>
      </w:pPr>
      <w:r>
        <w:rPr>
          <w:rFonts w:hAnsi="仿宋"/>
        </w:rPr>
        <w:t>第五条</w:t>
      </w:r>
      <w:r>
        <w:t xml:space="preserve">  </w:t>
      </w:r>
      <w:r>
        <w:rPr>
          <w:rFonts w:hAnsi="仿宋"/>
        </w:rPr>
        <w:t>破产案件管理人的指定由荆州市中级人民法院采用摇号轮候方式集中指定，各基层人民法院不再自行指定。法律规定需采取竞争方式的，应制定符合个案特点的评分标准，提请评审委员会评审。</w:t>
      </w:r>
    </w:p>
    <w:p>
      <w:pPr>
        <w:spacing w:line="600" w:lineRule="exact"/>
        <w:ind w:firstLine="632" w:firstLineChars="200"/>
      </w:pPr>
      <w:r>
        <w:rPr>
          <w:rFonts w:hAnsi="仿宋"/>
        </w:rPr>
        <w:t>第六条</w:t>
      </w:r>
      <w:r>
        <w:t xml:space="preserve">  </w:t>
      </w:r>
      <w:r>
        <w:rPr>
          <w:rFonts w:hAnsi="仿宋"/>
        </w:rPr>
        <w:t>采取摇号方式确定中介机构和指定破产案件管理人，必须严格按照湖北省高级人民法院相关规定，邀请督察部门人员或本部门廉政督察员参与监督，监督情况要形成笔录，由当事人、监督人、主办人、协办人共同签字确认。采取竞争方式指定破产案件管理人的，要邀请督察部门全程监督。</w:t>
      </w:r>
    </w:p>
    <w:p>
      <w:pPr>
        <w:spacing w:line="600" w:lineRule="exact"/>
        <w:ind w:firstLine="632" w:firstLineChars="200"/>
      </w:pPr>
      <w:r>
        <w:rPr>
          <w:rFonts w:hAnsi="仿宋"/>
        </w:rPr>
        <w:t>第七条</w:t>
      </w:r>
      <w:r>
        <w:t xml:space="preserve">  </w:t>
      </w:r>
      <w:r>
        <w:rPr>
          <w:rFonts w:hAnsi="仿宋"/>
        </w:rPr>
        <w:t>破产案件管理人在全省范围内履行管理人职责的，同一时期原则上不超过三件案件，已达到三件未结案件数的，应暂停该管理人的选任，待未结案件不足三件时自动恢复选任资格。</w:t>
      </w:r>
    </w:p>
    <w:p>
      <w:pPr>
        <w:spacing w:line="600" w:lineRule="exact"/>
        <w:ind w:firstLine="632" w:firstLineChars="200"/>
      </w:pPr>
      <w:r>
        <w:rPr>
          <w:rFonts w:hAnsi="仿宋"/>
        </w:rPr>
        <w:t>第八条</w:t>
      </w:r>
      <w:r>
        <w:t xml:space="preserve">  </w:t>
      </w:r>
      <w:r>
        <w:rPr>
          <w:rFonts w:hAnsi="仿宋"/>
        </w:rPr>
        <w:t>两级法院领导必须加强对对外委托和破产案件管理人指定工作的领导、指导和监督，但不得就受委托的案件提出具体意见，不得为案件指定或变相指定中介机构和破产案件管理人。</w:t>
      </w:r>
    </w:p>
    <w:p>
      <w:pPr>
        <w:spacing w:line="600" w:lineRule="exact"/>
        <w:ind w:firstLine="632" w:firstLineChars="200"/>
      </w:pPr>
      <w:r>
        <w:rPr>
          <w:rFonts w:hAnsi="仿宋"/>
        </w:rPr>
        <w:t>第九条</w:t>
      </w:r>
      <w:r>
        <w:t xml:space="preserve">  </w:t>
      </w:r>
      <w:r>
        <w:rPr>
          <w:rFonts w:hAnsi="仿宋"/>
        </w:rPr>
        <w:t>全市法院必须坚持非职务过问案件报告制度。对于非职务过问案件行为，要将过问者姓名、职务以及过问要求通过</w:t>
      </w:r>
      <w:r>
        <w:t>“</w:t>
      </w:r>
      <w:r>
        <w:rPr>
          <w:rFonts w:hAnsi="仿宋"/>
        </w:rPr>
        <w:t>三个规定</w:t>
      </w:r>
      <w:r>
        <w:t>”</w:t>
      </w:r>
      <w:r>
        <w:rPr>
          <w:rFonts w:hAnsi="仿宋"/>
        </w:rPr>
        <w:t>平台报送或直接报送纪检监察部门。</w:t>
      </w:r>
    </w:p>
    <w:p>
      <w:pPr>
        <w:spacing w:line="600" w:lineRule="exact"/>
        <w:ind w:firstLine="632" w:firstLineChars="200"/>
      </w:pPr>
      <w:r>
        <w:rPr>
          <w:rFonts w:hAnsi="仿宋"/>
        </w:rPr>
        <w:t>第十条</w:t>
      </w:r>
      <w:r>
        <w:t xml:space="preserve">  </w:t>
      </w:r>
      <w:r>
        <w:rPr>
          <w:rFonts w:hAnsi="仿宋"/>
        </w:rPr>
        <w:t>全市法院工作人员必须严格遵守公职人员从业限制的规定，具有各类专业资格证书的，不得挂靠中介机构执业，更不得从中介机构领取报酬。</w:t>
      </w:r>
      <w:r>
        <w:t xml:space="preserve">      </w:t>
      </w:r>
    </w:p>
    <w:p>
      <w:pPr>
        <w:spacing w:line="600" w:lineRule="exact"/>
        <w:ind w:firstLine="632" w:firstLineChars="200"/>
      </w:pPr>
      <w:r>
        <w:rPr>
          <w:rFonts w:hAnsi="仿宋"/>
        </w:rPr>
        <w:t>第十一条</w:t>
      </w:r>
      <w:r>
        <w:t xml:space="preserve">  </w:t>
      </w:r>
      <w:r>
        <w:rPr>
          <w:rFonts w:hAnsi="仿宋"/>
        </w:rPr>
        <w:t>全市法院工作人员必须严格遵守各项廉洁纪律，不得向中介机构及其执业人员违规收取费用或者乱拉赞助，不得向中介机构及其执业人员要求报销应由本人支付的费用，不得参与中介机构及其执业人员支付费用的旅游、娱乐等活动。</w:t>
      </w:r>
    </w:p>
    <w:p>
      <w:pPr>
        <w:spacing w:line="600" w:lineRule="exact"/>
        <w:ind w:firstLine="632" w:firstLineChars="200"/>
      </w:pPr>
      <w:r>
        <w:rPr>
          <w:rFonts w:hAnsi="仿宋"/>
        </w:rPr>
        <w:t>第十二条</w:t>
      </w:r>
      <w:r>
        <w:t xml:space="preserve">  </w:t>
      </w:r>
      <w:r>
        <w:rPr>
          <w:rFonts w:hAnsi="仿宋"/>
        </w:rPr>
        <w:t>全市法院工作人员不得干涉中介机构的专业技术操作和具体业务行为。支持中介机构依照行业规定独立、客观、公正地完成司法委托业务。</w:t>
      </w:r>
    </w:p>
    <w:p>
      <w:pPr>
        <w:spacing w:line="600" w:lineRule="exact"/>
        <w:ind w:firstLine="632" w:firstLineChars="200"/>
      </w:pPr>
      <w:r>
        <w:rPr>
          <w:rFonts w:hAnsi="仿宋"/>
        </w:rPr>
        <w:t>第十三条</w:t>
      </w:r>
      <w:r>
        <w:t xml:space="preserve">  </w:t>
      </w:r>
      <w:r>
        <w:rPr>
          <w:rFonts w:hAnsi="仿宋"/>
        </w:rPr>
        <w:t>全市法院工作人员本人及其配偶、子女、父母以及兄弟姊妹，不得参与本院对外委托拍卖或者变卖涉案财产的处置和竞买。</w:t>
      </w:r>
    </w:p>
    <w:p>
      <w:pPr>
        <w:spacing w:line="600" w:lineRule="exact"/>
        <w:ind w:firstLine="632" w:firstLineChars="200"/>
      </w:pPr>
      <w:r>
        <w:rPr>
          <w:rFonts w:hAnsi="仿宋"/>
        </w:rPr>
        <w:t>第十四条</w:t>
      </w:r>
      <w:r>
        <w:t xml:space="preserve">  </w:t>
      </w:r>
      <w:r>
        <w:rPr>
          <w:rFonts w:hAnsi="仿宋"/>
        </w:rPr>
        <w:t>违反本规定的，一律按违反</w:t>
      </w:r>
      <w:r>
        <w:t>“</w:t>
      </w:r>
      <w:r>
        <w:rPr>
          <w:rFonts w:hAnsi="仿宋"/>
        </w:rPr>
        <w:t>五个严禁</w:t>
      </w:r>
      <w:r>
        <w:t>”</w:t>
      </w:r>
      <w:r>
        <w:rPr>
          <w:rFonts w:hAnsi="仿宋"/>
        </w:rPr>
        <w:t>规定处罚。</w:t>
      </w:r>
    </w:p>
    <w:p>
      <w:pPr>
        <w:spacing w:line="600" w:lineRule="exact"/>
        <w:ind w:firstLine="632" w:firstLineChars="200"/>
      </w:pPr>
      <w:r>
        <w:rPr>
          <w:rFonts w:hAnsi="仿宋"/>
        </w:rPr>
        <w:t>第十五条</w:t>
      </w:r>
      <w:r>
        <w:t xml:space="preserve">  </w:t>
      </w:r>
      <w:r>
        <w:rPr>
          <w:rFonts w:hAnsi="仿宋"/>
        </w:rPr>
        <w:t>本办法由荆州市中级人民法院负责解释。</w:t>
      </w:r>
    </w:p>
    <w:p>
      <w:pPr>
        <w:spacing w:line="600" w:lineRule="exact"/>
        <w:ind w:firstLine="632" w:firstLineChars="200"/>
      </w:pPr>
      <w:r>
        <w:rPr>
          <w:rFonts w:hAnsi="仿宋"/>
        </w:rPr>
        <w:t>第十六条</w:t>
      </w:r>
      <w:r>
        <w:t xml:space="preserve">  </w:t>
      </w:r>
      <w:r>
        <w:rPr>
          <w:rFonts w:hAnsi="仿宋"/>
        </w:rPr>
        <w:t>本规定自发布之日起执行。</w:t>
      </w:r>
    </w:p>
    <w:sectPr>
      <w:headerReference r:id="rId5" w:type="first"/>
      <w:footerReference r:id="rId8" w:type="first"/>
      <w:headerReference r:id="rId3" w:type="default"/>
      <w:footerReference r:id="rId6" w:type="default"/>
      <w:headerReference r:id="rId4" w:type="even"/>
      <w:footerReference r:id="rId7" w:type="even"/>
      <w:pgSz w:w="11906" w:h="16838"/>
      <w:pgMar w:top="1985" w:right="1474" w:bottom="1701" w:left="1588" w:header="851" w:footer="1247" w:gutter="0"/>
      <w:pgNumType w:fmt="numberInDash"/>
      <w:cols w:space="720" w:num="1"/>
      <w:titlePg/>
      <w:docGrid w:type="linesAndChars" w:linePitch="5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0" w:leftChars="100"/>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0" w:rightChars="100"/>
      <w:jc w:val="right"/>
      <w:rPr>
        <w:rFonts w:hint="eastAsia" w:ascii="宋体" w:hAnsi="宋体" w:eastAsia="宋体"/>
        <w:sz w:val="28"/>
        <w:szCs w:val="28"/>
        <w:lang w:eastAsia="zh-CN"/>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hyphenationZone w:val="360"/>
  <w:evenAndOddHeaders w:val="1"/>
  <w:drawingGridHorizontalSpacing w:val="158"/>
  <w:drawingGridVerticalSpacing w:val="505"/>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BC0"/>
    <w:rsid w:val="000012B0"/>
    <w:rsid w:val="00003C5C"/>
    <w:rsid w:val="00006E3B"/>
    <w:rsid w:val="00010D7A"/>
    <w:rsid w:val="00011077"/>
    <w:rsid w:val="00013762"/>
    <w:rsid w:val="00014883"/>
    <w:rsid w:val="00023102"/>
    <w:rsid w:val="000240C0"/>
    <w:rsid w:val="00025B08"/>
    <w:rsid w:val="000316B2"/>
    <w:rsid w:val="00032E95"/>
    <w:rsid w:val="00040FAD"/>
    <w:rsid w:val="00047A56"/>
    <w:rsid w:val="00052ECB"/>
    <w:rsid w:val="000551C8"/>
    <w:rsid w:val="0006403B"/>
    <w:rsid w:val="00064574"/>
    <w:rsid w:val="0007153B"/>
    <w:rsid w:val="00075E20"/>
    <w:rsid w:val="00081BEC"/>
    <w:rsid w:val="000876CB"/>
    <w:rsid w:val="00087FEC"/>
    <w:rsid w:val="0009497E"/>
    <w:rsid w:val="000B0CF5"/>
    <w:rsid w:val="000B14D2"/>
    <w:rsid w:val="000B21D8"/>
    <w:rsid w:val="000B55E7"/>
    <w:rsid w:val="000C2E38"/>
    <w:rsid w:val="000C49CF"/>
    <w:rsid w:val="000D00AD"/>
    <w:rsid w:val="000D2946"/>
    <w:rsid w:val="000D3555"/>
    <w:rsid w:val="000D4668"/>
    <w:rsid w:val="000D7A72"/>
    <w:rsid w:val="000D7BC0"/>
    <w:rsid w:val="000E1478"/>
    <w:rsid w:val="000E2BDF"/>
    <w:rsid w:val="000E5E9C"/>
    <w:rsid w:val="00105C8D"/>
    <w:rsid w:val="00137942"/>
    <w:rsid w:val="00146180"/>
    <w:rsid w:val="00167473"/>
    <w:rsid w:val="001705C8"/>
    <w:rsid w:val="00183308"/>
    <w:rsid w:val="00186049"/>
    <w:rsid w:val="001A7AD3"/>
    <w:rsid w:val="001B0EFA"/>
    <w:rsid w:val="001B1E86"/>
    <w:rsid w:val="001B2C99"/>
    <w:rsid w:val="001B3BB9"/>
    <w:rsid w:val="001B7141"/>
    <w:rsid w:val="001C2612"/>
    <w:rsid w:val="001D03C5"/>
    <w:rsid w:val="001D3AB1"/>
    <w:rsid w:val="001E1FC8"/>
    <w:rsid w:val="001E2209"/>
    <w:rsid w:val="001E590A"/>
    <w:rsid w:val="001E6EB6"/>
    <w:rsid w:val="001F2C3A"/>
    <w:rsid w:val="00200B39"/>
    <w:rsid w:val="002016C6"/>
    <w:rsid w:val="002056C9"/>
    <w:rsid w:val="0021493E"/>
    <w:rsid w:val="00214CA1"/>
    <w:rsid w:val="002303B5"/>
    <w:rsid w:val="002308A6"/>
    <w:rsid w:val="00230C57"/>
    <w:rsid w:val="00234CF4"/>
    <w:rsid w:val="0024404F"/>
    <w:rsid w:val="00245FA0"/>
    <w:rsid w:val="00255A0F"/>
    <w:rsid w:val="002619FD"/>
    <w:rsid w:val="00272BA0"/>
    <w:rsid w:val="002752BE"/>
    <w:rsid w:val="00287E8B"/>
    <w:rsid w:val="0029544C"/>
    <w:rsid w:val="00296D0D"/>
    <w:rsid w:val="002A40AB"/>
    <w:rsid w:val="002A73F8"/>
    <w:rsid w:val="002B017A"/>
    <w:rsid w:val="002B5D6F"/>
    <w:rsid w:val="002C1AA1"/>
    <w:rsid w:val="002C2E85"/>
    <w:rsid w:val="002D256C"/>
    <w:rsid w:val="002D410C"/>
    <w:rsid w:val="002D5BA1"/>
    <w:rsid w:val="002F1F04"/>
    <w:rsid w:val="00303B7B"/>
    <w:rsid w:val="00316CF6"/>
    <w:rsid w:val="00317A56"/>
    <w:rsid w:val="00323297"/>
    <w:rsid w:val="0032528D"/>
    <w:rsid w:val="00327594"/>
    <w:rsid w:val="00334AA6"/>
    <w:rsid w:val="003475FA"/>
    <w:rsid w:val="00357B11"/>
    <w:rsid w:val="00360508"/>
    <w:rsid w:val="00364000"/>
    <w:rsid w:val="00364779"/>
    <w:rsid w:val="00370CF6"/>
    <w:rsid w:val="00380D9D"/>
    <w:rsid w:val="003874CB"/>
    <w:rsid w:val="003926BC"/>
    <w:rsid w:val="00396B04"/>
    <w:rsid w:val="00397D8D"/>
    <w:rsid w:val="003A54C9"/>
    <w:rsid w:val="003B2AB8"/>
    <w:rsid w:val="003C36A1"/>
    <w:rsid w:val="003D71E2"/>
    <w:rsid w:val="003E0B2D"/>
    <w:rsid w:val="003E1A38"/>
    <w:rsid w:val="003E662D"/>
    <w:rsid w:val="003F443B"/>
    <w:rsid w:val="003F5669"/>
    <w:rsid w:val="00400E3E"/>
    <w:rsid w:val="00401832"/>
    <w:rsid w:val="00405300"/>
    <w:rsid w:val="00405619"/>
    <w:rsid w:val="00417970"/>
    <w:rsid w:val="00425A1F"/>
    <w:rsid w:val="00433422"/>
    <w:rsid w:val="004343DF"/>
    <w:rsid w:val="0046346B"/>
    <w:rsid w:val="00463E7B"/>
    <w:rsid w:val="00470395"/>
    <w:rsid w:val="00471A28"/>
    <w:rsid w:val="004721E4"/>
    <w:rsid w:val="00474DF1"/>
    <w:rsid w:val="004818E3"/>
    <w:rsid w:val="004911C9"/>
    <w:rsid w:val="00495FFE"/>
    <w:rsid w:val="004A040E"/>
    <w:rsid w:val="004A1F2C"/>
    <w:rsid w:val="004A4CF9"/>
    <w:rsid w:val="004A71CE"/>
    <w:rsid w:val="004B0914"/>
    <w:rsid w:val="004B3915"/>
    <w:rsid w:val="004B631F"/>
    <w:rsid w:val="004C4004"/>
    <w:rsid w:val="004E01FC"/>
    <w:rsid w:val="004E6576"/>
    <w:rsid w:val="00514375"/>
    <w:rsid w:val="00515374"/>
    <w:rsid w:val="00515AF8"/>
    <w:rsid w:val="00517C03"/>
    <w:rsid w:val="00525A44"/>
    <w:rsid w:val="00530ECF"/>
    <w:rsid w:val="00533535"/>
    <w:rsid w:val="00546BA0"/>
    <w:rsid w:val="00546C85"/>
    <w:rsid w:val="0055221D"/>
    <w:rsid w:val="00557622"/>
    <w:rsid w:val="0056293D"/>
    <w:rsid w:val="00580760"/>
    <w:rsid w:val="00583D9A"/>
    <w:rsid w:val="00586058"/>
    <w:rsid w:val="005941C9"/>
    <w:rsid w:val="00595AE9"/>
    <w:rsid w:val="005A4AA0"/>
    <w:rsid w:val="005B51D4"/>
    <w:rsid w:val="005B5F7B"/>
    <w:rsid w:val="005C0132"/>
    <w:rsid w:val="005C021C"/>
    <w:rsid w:val="005C390A"/>
    <w:rsid w:val="005D0371"/>
    <w:rsid w:val="005D7875"/>
    <w:rsid w:val="005F06CD"/>
    <w:rsid w:val="005F0AE1"/>
    <w:rsid w:val="0060613C"/>
    <w:rsid w:val="00613549"/>
    <w:rsid w:val="00613FCD"/>
    <w:rsid w:val="0061766A"/>
    <w:rsid w:val="00621A6D"/>
    <w:rsid w:val="0062496A"/>
    <w:rsid w:val="00625AB3"/>
    <w:rsid w:val="00632A7E"/>
    <w:rsid w:val="00633E9B"/>
    <w:rsid w:val="0064041A"/>
    <w:rsid w:val="00640E52"/>
    <w:rsid w:val="00647F70"/>
    <w:rsid w:val="00651E3E"/>
    <w:rsid w:val="00655EA0"/>
    <w:rsid w:val="00656D0C"/>
    <w:rsid w:val="00681E97"/>
    <w:rsid w:val="0069034B"/>
    <w:rsid w:val="00691C55"/>
    <w:rsid w:val="00693458"/>
    <w:rsid w:val="006941A9"/>
    <w:rsid w:val="00697E5A"/>
    <w:rsid w:val="006A7296"/>
    <w:rsid w:val="006B7FF4"/>
    <w:rsid w:val="006C1CC5"/>
    <w:rsid w:val="006D195E"/>
    <w:rsid w:val="006E310A"/>
    <w:rsid w:val="006F0EB5"/>
    <w:rsid w:val="006F102C"/>
    <w:rsid w:val="006F35D5"/>
    <w:rsid w:val="006F7368"/>
    <w:rsid w:val="00723FCF"/>
    <w:rsid w:val="007329DA"/>
    <w:rsid w:val="00744856"/>
    <w:rsid w:val="0075525E"/>
    <w:rsid w:val="00755D2B"/>
    <w:rsid w:val="00757EBF"/>
    <w:rsid w:val="007745E6"/>
    <w:rsid w:val="00774640"/>
    <w:rsid w:val="00786501"/>
    <w:rsid w:val="007904FF"/>
    <w:rsid w:val="0079288C"/>
    <w:rsid w:val="00796C6A"/>
    <w:rsid w:val="007A25B4"/>
    <w:rsid w:val="007A2F78"/>
    <w:rsid w:val="007A4E37"/>
    <w:rsid w:val="007A55BF"/>
    <w:rsid w:val="007A5F6A"/>
    <w:rsid w:val="007B4CF1"/>
    <w:rsid w:val="007C2522"/>
    <w:rsid w:val="007D3C41"/>
    <w:rsid w:val="007D4CF0"/>
    <w:rsid w:val="007D6147"/>
    <w:rsid w:val="007E53FA"/>
    <w:rsid w:val="007E5823"/>
    <w:rsid w:val="007F04CE"/>
    <w:rsid w:val="007F4863"/>
    <w:rsid w:val="007F5DCC"/>
    <w:rsid w:val="00813BC4"/>
    <w:rsid w:val="0081511B"/>
    <w:rsid w:val="008153A7"/>
    <w:rsid w:val="00821B08"/>
    <w:rsid w:val="0082220B"/>
    <w:rsid w:val="008231C1"/>
    <w:rsid w:val="008265C8"/>
    <w:rsid w:val="0083401B"/>
    <w:rsid w:val="00835D7B"/>
    <w:rsid w:val="00843211"/>
    <w:rsid w:val="00851F91"/>
    <w:rsid w:val="008571FF"/>
    <w:rsid w:val="008631B0"/>
    <w:rsid w:val="008664F6"/>
    <w:rsid w:val="008746AF"/>
    <w:rsid w:val="00875E3B"/>
    <w:rsid w:val="00887FB7"/>
    <w:rsid w:val="008A2A43"/>
    <w:rsid w:val="008A4A9B"/>
    <w:rsid w:val="008A7844"/>
    <w:rsid w:val="008C1012"/>
    <w:rsid w:val="008C5572"/>
    <w:rsid w:val="008C610E"/>
    <w:rsid w:val="008D0B3F"/>
    <w:rsid w:val="008D1B05"/>
    <w:rsid w:val="008D39F0"/>
    <w:rsid w:val="008D63DA"/>
    <w:rsid w:val="008D6C5D"/>
    <w:rsid w:val="008E09CC"/>
    <w:rsid w:val="008E6DA7"/>
    <w:rsid w:val="00903927"/>
    <w:rsid w:val="00903E92"/>
    <w:rsid w:val="009050A7"/>
    <w:rsid w:val="009136CD"/>
    <w:rsid w:val="00920A7E"/>
    <w:rsid w:val="00931D2F"/>
    <w:rsid w:val="00937B9C"/>
    <w:rsid w:val="00940663"/>
    <w:rsid w:val="00941ED1"/>
    <w:rsid w:val="00943C04"/>
    <w:rsid w:val="00964DAC"/>
    <w:rsid w:val="00980D4E"/>
    <w:rsid w:val="00985E6C"/>
    <w:rsid w:val="00992F2B"/>
    <w:rsid w:val="0099766C"/>
    <w:rsid w:val="009C57DD"/>
    <w:rsid w:val="009D2CB8"/>
    <w:rsid w:val="009D4FF3"/>
    <w:rsid w:val="009E49D5"/>
    <w:rsid w:val="009E5BD0"/>
    <w:rsid w:val="009E60B7"/>
    <w:rsid w:val="009E67F9"/>
    <w:rsid w:val="009F4E16"/>
    <w:rsid w:val="009F7183"/>
    <w:rsid w:val="00A05548"/>
    <w:rsid w:val="00A05B62"/>
    <w:rsid w:val="00A1358F"/>
    <w:rsid w:val="00A23BB9"/>
    <w:rsid w:val="00A40B1A"/>
    <w:rsid w:val="00A5634E"/>
    <w:rsid w:val="00A56584"/>
    <w:rsid w:val="00A62AC5"/>
    <w:rsid w:val="00A66C70"/>
    <w:rsid w:val="00A8264D"/>
    <w:rsid w:val="00A8442C"/>
    <w:rsid w:val="00A84EF2"/>
    <w:rsid w:val="00A94C00"/>
    <w:rsid w:val="00AA118B"/>
    <w:rsid w:val="00AA23CF"/>
    <w:rsid w:val="00AA3E3B"/>
    <w:rsid w:val="00AA4F32"/>
    <w:rsid w:val="00AA4FA5"/>
    <w:rsid w:val="00AB062D"/>
    <w:rsid w:val="00AB3C03"/>
    <w:rsid w:val="00AB675C"/>
    <w:rsid w:val="00AB7122"/>
    <w:rsid w:val="00AC3497"/>
    <w:rsid w:val="00AC70C2"/>
    <w:rsid w:val="00AC7912"/>
    <w:rsid w:val="00AD457E"/>
    <w:rsid w:val="00AD68B9"/>
    <w:rsid w:val="00AD7B95"/>
    <w:rsid w:val="00AE34D8"/>
    <w:rsid w:val="00AE3B50"/>
    <w:rsid w:val="00AE4FE3"/>
    <w:rsid w:val="00AF5F0A"/>
    <w:rsid w:val="00B047D4"/>
    <w:rsid w:val="00B11875"/>
    <w:rsid w:val="00B21C17"/>
    <w:rsid w:val="00B23BF4"/>
    <w:rsid w:val="00B3712C"/>
    <w:rsid w:val="00B41DD6"/>
    <w:rsid w:val="00B45057"/>
    <w:rsid w:val="00B4679C"/>
    <w:rsid w:val="00B55216"/>
    <w:rsid w:val="00B610E4"/>
    <w:rsid w:val="00B62928"/>
    <w:rsid w:val="00B6541C"/>
    <w:rsid w:val="00B81B04"/>
    <w:rsid w:val="00B855AD"/>
    <w:rsid w:val="00B85802"/>
    <w:rsid w:val="00B87D9B"/>
    <w:rsid w:val="00B9203F"/>
    <w:rsid w:val="00B948F3"/>
    <w:rsid w:val="00BA0B16"/>
    <w:rsid w:val="00BA5B89"/>
    <w:rsid w:val="00BB3DD6"/>
    <w:rsid w:val="00BC4748"/>
    <w:rsid w:val="00BD523B"/>
    <w:rsid w:val="00BF49CD"/>
    <w:rsid w:val="00C00627"/>
    <w:rsid w:val="00C10E6A"/>
    <w:rsid w:val="00C11071"/>
    <w:rsid w:val="00C12462"/>
    <w:rsid w:val="00C1423F"/>
    <w:rsid w:val="00C2230C"/>
    <w:rsid w:val="00C26A4B"/>
    <w:rsid w:val="00C272D6"/>
    <w:rsid w:val="00C42443"/>
    <w:rsid w:val="00C46337"/>
    <w:rsid w:val="00C503DE"/>
    <w:rsid w:val="00C63C6B"/>
    <w:rsid w:val="00C704B8"/>
    <w:rsid w:val="00C717DC"/>
    <w:rsid w:val="00C80727"/>
    <w:rsid w:val="00C84447"/>
    <w:rsid w:val="00CA1041"/>
    <w:rsid w:val="00CA6FB6"/>
    <w:rsid w:val="00CB1829"/>
    <w:rsid w:val="00CB27E8"/>
    <w:rsid w:val="00CC2C3B"/>
    <w:rsid w:val="00CC302B"/>
    <w:rsid w:val="00CD402B"/>
    <w:rsid w:val="00CD45FA"/>
    <w:rsid w:val="00CD46C5"/>
    <w:rsid w:val="00CE0EE2"/>
    <w:rsid w:val="00CE28E5"/>
    <w:rsid w:val="00CE485C"/>
    <w:rsid w:val="00CF7837"/>
    <w:rsid w:val="00D002A6"/>
    <w:rsid w:val="00D05503"/>
    <w:rsid w:val="00D05BDA"/>
    <w:rsid w:val="00D0614D"/>
    <w:rsid w:val="00D062DE"/>
    <w:rsid w:val="00D1416F"/>
    <w:rsid w:val="00D16DA1"/>
    <w:rsid w:val="00D3327D"/>
    <w:rsid w:val="00D33B5D"/>
    <w:rsid w:val="00D35F1D"/>
    <w:rsid w:val="00D4214F"/>
    <w:rsid w:val="00D47871"/>
    <w:rsid w:val="00D53455"/>
    <w:rsid w:val="00D56560"/>
    <w:rsid w:val="00D6332C"/>
    <w:rsid w:val="00D6413E"/>
    <w:rsid w:val="00D75CC7"/>
    <w:rsid w:val="00D86825"/>
    <w:rsid w:val="00D90C0E"/>
    <w:rsid w:val="00D94DF1"/>
    <w:rsid w:val="00D97221"/>
    <w:rsid w:val="00D97657"/>
    <w:rsid w:val="00DB01DA"/>
    <w:rsid w:val="00DB01E0"/>
    <w:rsid w:val="00DB7AC4"/>
    <w:rsid w:val="00DC0CC8"/>
    <w:rsid w:val="00DC55F9"/>
    <w:rsid w:val="00DE35A2"/>
    <w:rsid w:val="00DF43D1"/>
    <w:rsid w:val="00DF4DB8"/>
    <w:rsid w:val="00DF5B28"/>
    <w:rsid w:val="00E03399"/>
    <w:rsid w:val="00E04404"/>
    <w:rsid w:val="00E15151"/>
    <w:rsid w:val="00E212B9"/>
    <w:rsid w:val="00E25813"/>
    <w:rsid w:val="00E3459C"/>
    <w:rsid w:val="00E360B8"/>
    <w:rsid w:val="00E3640B"/>
    <w:rsid w:val="00E365CF"/>
    <w:rsid w:val="00E378FE"/>
    <w:rsid w:val="00E549C9"/>
    <w:rsid w:val="00E603C3"/>
    <w:rsid w:val="00E644BC"/>
    <w:rsid w:val="00E64E46"/>
    <w:rsid w:val="00E72957"/>
    <w:rsid w:val="00E76ECE"/>
    <w:rsid w:val="00E825D0"/>
    <w:rsid w:val="00E93C4D"/>
    <w:rsid w:val="00E970EF"/>
    <w:rsid w:val="00EA2AAC"/>
    <w:rsid w:val="00EA639C"/>
    <w:rsid w:val="00EC24EA"/>
    <w:rsid w:val="00EC46C1"/>
    <w:rsid w:val="00EC47FE"/>
    <w:rsid w:val="00EC62DA"/>
    <w:rsid w:val="00EC6E5A"/>
    <w:rsid w:val="00ED0169"/>
    <w:rsid w:val="00ED0F3D"/>
    <w:rsid w:val="00ED2E4C"/>
    <w:rsid w:val="00ED394D"/>
    <w:rsid w:val="00ED6267"/>
    <w:rsid w:val="00EF2239"/>
    <w:rsid w:val="00EF2790"/>
    <w:rsid w:val="00EF5512"/>
    <w:rsid w:val="00F05F77"/>
    <w:rsid w:val="00F120E5"/>
    <w:rsid w:val="00F12B76"/>
    <w:rsid w:val="00F13B28"/>
    <w:rsid w:val="00F22938"/>
    <w:rsid w:val="00F2349A"/>
    <w:rsid w:val="00F3237D"/>
    <w:rsid w:val="00F32846"/>
    <w:rsid w:val="00F33460"/>
    <w:rsid w:val="00F379A4"/>
    <w:rsid w:val="00F40342"/>
    <w:rsid w:val="00F4471F"/>
    <w:rsid w:val="00F4581A"/>
    <w:rsid w:val="00F521E6"/>
    <w:rsid w:val="00F564DA"/>
    <w:rsid w:val="00F5713C"/>
    <w:rsid w:val="00F63BF8"/>
    <w:rsid w:val="00F731ED"/>
    <w:rsid w:val="00F8381D"/>
    <w:rsid w:val="00F8728E"/>
    <w:rsid w:val="00F9172F"/>
    <w:rsid w:val="00FB1A4E"/>
    <w:rsid w:val="00FB47A2"/>
    <w:rsid w:val="00FC7231"/>
    <w:rsid w:val="00FE0B06"/>
    <w:rsid w:val="00FE159A"/>
    <w:rsid w:val="00FF4547"/>
    <w:rsid w:val="145F732F"/>
    <w:rsid w:val="4C5707A9"/>
    <w:rsid w:val="79411E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10">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link w:val="15"/>
    <w:uiPriority w:val="0"/>
    <w:pPr>
      <w:spacing w:after="120"/>
      <w:ind w:left="420" w:leftChars="200"/>
    </w:pPr>
  </w:style>
  <w:style w:type="paragraph" w:styleId="3">
    <w:name w:val="Plain Text"/>
    <w:basedOn w:val="1"/>
    <w:qFormat/>
    <w:uiPriority w:val="0"/>
    <w:rPr>
      <w:rFonts w:hint="eastAsia" w:ascii="宋体" w:hAnsi="Courier New" w:eastAsia="宋体" w:cs="Courier New"/>
      <w:sz w:val="21"/>
      <w:szCs w:val="21"/>
    </w:rPr>
  </w:style>
  <w:style w:type="paragraph" w:styleId="4">
    <w:name w:val="Date"/>
    <w:basedOn w:val="1"/>
    <w:next w:val="1"/>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rFonts w:eastAsia="仿宋_GB2312"/>
      <w:sz w:val="18"/>
      <w:szCs w:val="18"/>
    </w:rPr>
  </w:style>
  <w:style w:type="paragraph" w:styleId="7">
    <w:name w:val="Body Text First Indent 2"/>
    <w:basedOn w:val="2"/>
    <w:link w:val="18"/>
    <w:unhideWhenUsed/>
    <w:qFormat/>
    <w:uiPriority w:val="99"/>
    <w:pPr>
      <w:ind w:firstLine="420" w:firstLineChars="200"/>
    </w:pPr>
    <w:rPr>
      <w:rFonts w:eastAsia="宋体" w:cs="Arial"/>
      <w:sz w:val="21"/>
      <w:szCs w:val="22"/>
    </w:rPr>
  </w:style>
  <w:style w:type="paragraph" w:styleId="8">
    <w:name w:val="header"/>
    <w:basedOn w:val="1"/>
    <w:link w:val="16"/>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unhideWhenUsed/>
    <w:qFormat/>
    <w:uiPriority w:val="99"/>
    <w:rPr>
      <w:color w:val="0000FF"/>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正文文本缩进 Char"/>
    <w:basedOn w:val="10"/>
    <w:link w:val="2"/>
    <w:uiPriority w:val="0"/>
    <w:rPr>
      <w:rFonts w:eastAsia="仿宋"/>
      <w:kern w:val="2"/>
      <w:sz w:val="32"/>
      <w:szCs w:val="32"/>
    </w:rPr>
  </w:style>
  <w:style w:type="character" w:customStyle="1" w:styleId="16">
    <w:name w:val="页眉 Char"/>
    <w:link w:val="8"/>
    <w:qFormat/>
    <w:uiPriority w:val="99"/>
    <w:rPr>
      <w:rFonts w:eastAsia="仿宋_GB2312"/>
      <w:kern w:val="2"/>
      <w:sz w:val="18"/>
      <w:szCs w:val="18"/>
    </w:rPr>
  </w:style>
  <w:style w:type="character" w:customStyle="1" w:styleId="17">
    <w:name w:val="页脚 Char"/>
    <w:link w:val="6"/>
    <w:qFormat/>
    <w:uiPriority w:val="99"/>
    <w:rPr>
      <w:rFonts w:eastAsia="仿宋_GB2312"/>
      <w:kern w:val="2"/>
      <w:sz w:val="18"/>
      <w:szCs w:val="18"/>
    </w:rPr>
  </w:style>
  <w:style w:type="character" w:customStyle="1" w:styleId="18">
    <w:name w:val="正文首行缩进 2 Char"/>
    <w:basedOn w:val="15"/>
    <w:link w:val="7"/>
    <w:uiPriority w:val="99"/>
    <w:rPr>
      <w:rFonts w:cs="Arial"/>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239</Words>
  <Characters>1366</Characters>
  <Lines>11</Lines>
  <Paragraphs>3</Paragraphs>
  <ScaleCrop>false</ScaleCrop>
  <LinksUpToDate>false</LinksUpToDate>
  <CharactersWithSpaces>1602</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2023-06-21T02:28:00Z</dcterms:created>
  <dc:creator>程瑛</dc:creator>
  <cp:lastModifiedBy>Administrator</cp:lastModifiedBy>
  <cp:lastPrinted>2022-11-22T01:39:00Z</cp:lastPrinted>
  <dcterms:modified xsi:type="dcterms:W3CDTF">2024-02-18T01:42:29Z</dcterms:modified>
  <dc:title>荆州市中级人民法院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